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napToGrid w:val="false"/>
        <w:spacing w:before="0" w:after="0"/>
        <w:jc w:val="right"/>
        <w:rPr/>
      </w:pPr>
      <w:r>
        <w:rPr>
          <w:rFonts w:cs="Arial" w:ascii="Arial" w:hAnsi="Arial"/>
          <w:sz w:val="24"/>
          <w:szCs w:val="24"/>
        </w:rPr>
        <w:t xml:space="preserve">                                                                                             </w:t>
      </w:r>
      <w:r>
        <w:rPr>
          <w:rFonts w:cs="Arial" w:ascii="Times New Roman" w:hAnsi="Times New Roman"/>
          <w:sz w:val="28"/>
          <w:szCs w:val="28"/>
        </w:rPr>
        <w:t xml:space="preserve"> </w:t>
      </w:r>
      <w:r>
        <w:rPr>
          <w:rFonts w:cs="Arial" w:ascii="Times New Roman" w:hAnsi="Times New Roman"/>
          <w:sz w:val="24"/>
          <w:szCs w:val="24"/>
        </w:rPr>
        <w:t xml:space="preserve">    </w:t>
      </w:r>
      <w:r>
        <w:rPr>
          <w:rFonts w:cs="Arial" w:ascii="Times New Roman" w:hAnsi="Times New Roman"/>
          <w:sz w:val="24"/>
          <w:szCs w:val="24"/>
        </w:rPr>
        <w:t>Приложение № 15</w:t>
      </w:r>
    </w:p>
    <w:p>
      <w:pPr>
        <w:pStyle w:val="Normal"/>
        <w:spacing w:before="0"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к  проекту решения собрания депутатов</w:t>
      </w:r>
    </w:p>
    <w:p>
      <w:pPr>
        <w:pStyle w:val="Normal"/>
        <w:spacing w:before="0"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Верхнелюбажского сельсовета</w:t>
      </w:r>
    </w:p>
    <w:p>
      <w:pPr>
        <w:pStyle w:val="Normal"/>
        <w:spacing w:before="0"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Фатежского района Курской области                                                                                                                                                   «О Бюджете муниципального образования                                      </w:t>
      </w:r>
    </w:p>
    <w:p>
      <w:pPr>
        <w:pStyle w:val="Normal"/>
        <w:spacing w:before="0" w:after="0"/>
        <w:jc w:val="right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sz w:val="24"/>
          <w:szCs w:val="24"/>
          <w:lang w:val="en-US"/>
        </w:rPr>
        <w:t>“</w:t>
      </w:r>
      <w:r>
        <w:rPr>
          <w:rFonts w:cs="Arial" w:ascii="Times New Roman" w:hAnsi="Times New Roman"/>
          <w:sz w:val="24"/>
          <w:szCs w:val="24"/>
          <w:lang w:val="ru-RU"/>
        </w:rPr>
        <w:t xml:space="preserve">Верхнелюбажский сельсовет» </w:t>
      </w:r>
    </w:p>
    <w:p>
      <w:pPr>
        <w:pStyle w:val="Normal"/>
        <w:spacing w:before="0" w:after="0"/>
        <w:jc w:val="right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sz w:val="24"/>
          <w:szCs w:val="24"/>
          <w:lang w:val="ru-RU"/>
        </w:rPr>
        <w:t>Фатежского района  Курской области</w:t>
      </w:r>
    </w:p>
    <w:p>
      <w:pPr>
        <w:pStyle w:val="Normal"/>
        <w:spacing w:before="0" w:after="0"/>
        <w:jc w:val="right"/>
        <w:rPr/>
      </w:pPr>
      <w:r>
        <w:rPr>
          <w:rFonts w:cs="Arial" w:ascii="Times New Roman" w:hAnsi="Times New Roman"/>
          <w:sz w:val="24"/>
          <w:szCs w:val="24"/>
          <w:lang w:val="ru-RU"/>
        </w:rPr>
        <w:t>на 20</w:t>
      </w:r>
      <w:r>
        <w:rPr>
          <w:rFonts w:cs="Arial" w:ascii="Times New Roman" w:hAnsi="Times New Roman"/>
          <w:sz w:val="24"/>
          <w:szCs w:val="24"/>
          <w:lang w:val="ru-RU"/>
        </w:rPr>
        <w:t>20</w:t>
      </w:r>
      <w:r>
        <w:rPr>
          <w:rFonts w:cs="Arial" w:ascii="Times New Roman" w:hAnsi="Times New Roman"/>
          <w:sz w:val="24"/>
          <w:szCs w:val="24"/>
          <w:lang w:val="ru-RU"/>
        </w:rPr>
        <w:t>год и плановый период 202</w:t>
      </w:r>
      <w:r>
        <w:rPr>
          <w:rFonts w:cs="Arial" w:ascii="Times New Roman" w:hAnsi="Times New Roman"/>
          <w:sz w:val="24"/>
          <w:szCs w:val="24"/>
          <w:lang w:val="ru-RU"/>
        </w:rPr>
        <w:t>1</w:t>
      </w:r>
      <w:r>
        <w:rPr>
          <w:rFonts w:cs="Arial" w:ascii="Times New Roman" w:hAnsi="Times New Roman"/>
          <w:sz w:val="24"/>
          <w:szCs w:val="24"/>
          <w:lang w:val="ru-RU"/>
        </w:rPr>
        <w:t>-202</w:t>
      </w:r>
      <w:r>
        <w:rPr>
          <w:rFonts w:cs="Arial" w:ascii="Times New Roman" w:hAnsi="Times New Roman"/>
          <w:sz w:val="24"/>
          <w:szCs w:val="24"/>
          <w:lang w:val="ru-RU"/>
        </w:rPr>
        <w:t>2</w:t>
      </w:r>
      <w:r>
        <w:rPr>
          <w:rFonts w:cs="Arial" w:ascii="Times New Roman" w:hAnsi="Times New Roman"/>
          <w:sz w:val="24"/>
          <w:szCs w:val="24"/>
          <w:lang w:val="ru-RU"/>
        </w:rPr>
        <w:t xml:space="preserve"> годы</w:t>
      </w:r>
      <w:r>
        <w:rPr>
          <w:rFonts w:cs="Arial" w:ascii="Times New Roman" w:hAnsi="Times New Roman"/>
          <w:sz w:val="22"/>
          <w:szCs w:val="22"/>
        </w:rPr>
        <w:t xml:space="preserve">                                                           </w:t>
      </w:r>
    </w:p>
    <w:p>
      <w:pPr>
        <w:pStyle w:val="Normal"/>
        <w:snapToGrid w:val="false"/>
        <w:spacing w:before="0" w:after="0"/>
        <w:jc w:val="center"/>
        <w:rPr>
          <w:rFonts w:ascii="Times New Roman" w:hAnsi="Times New Roman" w:cs="Arial"/>
          <w:sz w:val="28"/>
          <w:szCs w:val="28"/>
        </w:rPr>
      </w:pPr>
      <w:r>
        <w:rPr>
          <w:rFonts w:cs="Arial" w:ascii="Times New Roman" w:hAnsi="Times New Roman"/>
          <w:sz w:val="28"/>
          <w:szCs w:val="28"/>
        </w:rPr>
      </w:r>
    </w:p>
    <w:p>
      <w:pPr>
        <w:pStyle w:val="2"/>
        <w:numPr>
          <w:ilvl w:val="0"/>
          <w:numId w:val="0"/>
        </w:numPr>
        <w:spacing w:lineRule="auto" w:line="360" w:before="0" w:after="0"/>
        <w:ind w:left="0" w:right="0" w:hanging="0"/>
        <w:rPr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Программа муниципальных  гарантий</w:t>
      </w:r>
    </w:p>
    <w:p>
      <w:pPr>
        <w:pStyle w:val="3"/>
        <w:numPr>
          <w:ilvl w:val="2"/>
          <w:numId w:val="2"/>
        </w:numPr>
        <w:spacing w:lineRule="auto" w:line="360" w:before="0" w:after="0"/>
        <w:rPr/>
      </w:pPr>
      <w:r>
        <w:rPr>
          <w:rFonts w:ascii="Times New Roman" w:hAnsi="Times New Roman"/>
          <w:sz w:val="26"/>
          <w:szCs w:val="26"/>
        </w:rPr>
        <w:t>муниципального образования «Верхнелюбажский сельсовет» Фатежского района Курской области на 20</w:t>
      </w:r>
      <w:r>
        <w:rPr>
          <w:rFonts w:ascii="Times New Roman" w:hAnsi="Times New Roman"/>
          <w:sz w:val="26"/>
          <w:szCs w:val="26"/>
          <w:lang w:val="en-US"/>
        </w:rPr>
        <w:t>20</w:t>
      </w:r>
      <w:r>
        <w:rPr>
          <w:rFonts w:ascii="Times New Roman" w:hAnsi="Times New Roman"/>
          <w:sz w:val="26"/>
          <w:szCs w:val="26"/>
        </w:rPr>
        <w:t xml:space="preserve"> год</w:t>
      </w:r>
    </w:p>
    <w:p>
      <w:pPr>
        <w:pStyle w:val="Normal"/>
        <w:spacing w:lineRule="auto" w:line="360" w:before="0" w:after="0"/>
        <w:jc w:val="center"/>
        <w:rPr/>
      </w:pPr>
      <w:r>
        <w:rPr>
          <w:rFonts w:ascii="Times New Roman" w:hAnsi="Times New Roman"/>
          <w:sz w:val="26"/>
          <w:szCs w:val="26"/>
        </w:rPr>
        <w:t>1.1 Перечень подлежащих предоставлению муниципальных гарантий в 20</w:t>
      </w:r>
      <w:r>
        <w:rPr>
          <w:rFonts w:ascii="Times New Roman" w:hAnsi="Times New Roman"/>
          <w:sz w:val="26"/>
          <w:szCs w:val="26"/>
        </w:rPr>
        <w:t>20</w:t>
      </w:r>
      <w:r>
        <w:rPr>
          <w:rFonts w:ascii="Times New Roman" w:hAnsi="Times New Roman"/>
          <w:sz w:val="26"/>
          <w:szCs w:val="26"/>
        </w:rPr>
        <w:t xml:space="preserve"> году</w:t>
      </w:r>
    </w:p>
    <w:tbl>
      <w:tblPr>
        <w:tblW w:w="14287" w:type="dxa"/>
        <w:jc w:val="left"/>
        <w:tblInd w:w="0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2" w:type="dxa"/>
          <w:bottom w:w="55" w:type="dxa"/>
          <w:right w:w="55" w:type="dxa"/>
        </w:tblCellMar>
      </w:tblPr>
      <w:tblGrid>
        <w:gridCol w:w="794"/>
        <w:gridCol w:w="3287"/>
        <w:gridCol w:w="2042"/>
        <w:gridCol w:w="2042"/>
        <w:gridCol w:w="2214"/>
        <w:gridCol w:w="1866"/>
        <w:gridCol w:w="2041"/>
      </w:tblGrid>
      <w:tr>
        <w:trPr>
          <w:trHeight w:val="1080" w:hRule="atLeast"/>
        </w:trPr>
        <w:tc>
          <w:tcPr>
            <w:tcW w:w="7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32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Цель гарантирования</w:t>
            </w:r>
          </w:p>
        </w:tc>
        <w:tc>
          <w:tcPr>
            <w:tcW w:w="20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Наименование принципала</w:t>
            </w:r>
          </w:p>
        </w:tc>
        <w:tc>
          <w:tcPr>
            <w:tcW w:w="20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Сумма гаран-тирования, ру- блей</w:t>
            </w:r>
          </w:p>
        </w:tc>
        <w:tc>
          <w:tcPr>
            <w:tcW w:w="22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Наличие права регрессного тре- бования</w:t>
            </w:r>
          </w:p>
        </w:tc>
        <w:tc>
          <w:tcPr>
            <w:tcW w:w="1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Наименование кредитора</w:t>
            </w:r>
          </w:p>
        </w:tc>
        <w:tc>
          <w:tcPr>
            <w:tcW w:w="20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Срок гарантии</w:t>
            </w:r>
          </w:p>
        </w:tc>
      </w:tr>
      <w:tr>
        <w:trPr>
          <w:trHeight w:val="382" w:hRule="atLeast"/>
        </w:trPr>
        <w:tc>
          <w:tcPr>
            <w:tcW w:w="7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2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0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0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2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0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Style17"/>
              <w:spacing w:before="0" w:after="29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>
        <w:trPr/>
        <w:tc>
          <w:tcPr>
            <w:tcW w:w="7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32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20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20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22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20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  <w:tr>
        <w:trPr/>
        <w:tc>
          <w:tcPr>
            <w:tcW w:w="7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32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Всего</w:t>
            </w:r>
          </w:p>
        </w:tc>
        <w:tc>
          <w:tcPr>
            <w:tcW w:w="20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20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22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20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</w:tbl>
    <w:p>
      <w:pPr>
        <w:pStyle w:val="Normal"/>
        <w:spacing w:lineRule="auto" w:line="360" w:before="0" w:after="0"/>
        <w:jc w:val="center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 Общий объем бюджетных ассигнований, предусмотренных на исполнение муниципальных гарантий</w:t>
      </w:r>
    </w:p>
    <w:p>
      <w:pPr>
        <w:pStyle w:val="Normal"/>
        <w:spacing w:lineRule="auto" w:line="360" w:before="0" w:after="0"/>
        <w:jc w:val="center"/>
        <w:rPr/>
      </w:pPr>
      <w:r>
        <w:rPr>
          <w:rFonts w:ascii="Times New Roman" w:hAnsi="Times New Roman"/>
          <w:sz w:val="26"/>
          <w:szCs w:val="26"/>
        </w:rPr>
        <w:t xml:space="preserve">по возможным гарантийным случаям </w:t>
      </w:r>
      <w:r>
        <w:rPr>
          <w:rFonts w:ascii="Times New Roman" w:hAnsi="Times New Roman"/>
          <w:sz w:val="26"/>
          <w:szCs w:val="26"/>
        </w:rPr>
        <w:t xml:space="preserve">в </w:t>
      </w:r>
      <w:r>
        <w:rPr>
          <w:rFonts w:ascii="Times New Roman" w:hAnsi="Times New Roman"/>
          <w:sz w:val="26"/>
          <w:szCs w:val="26"/>
        </w:rPr>
        <w:t>20</w:t>
      </w:r>
      <w:r>
        <w:rPr>
          <w:rFonts w:ascii="Times New Roman" w:hAnsi="Times New Roman"/>
          <w:sz w:val="26"/>
          <w:szCs w:val="26"/>
        </w:rPr>
        <w:t>20</w:t>
      </w:r>
      <w:r>
        <w:rPr>
          <w:rFonts w:ascii="Times New Roman" w:hAnsi="Times New Roman"/>
          <w:sz w:val="26"/>
          <w:szCs w:val="26"/>
        </w:rPr>
        <w:t xml:space="preserve"> году</w:t>
      </w:r>
    </w:p>
    <w:tbl>
      <w:tblPr>
        <w:tblW w:w="14287" w:type="dxa"/>
        <w:jc w:val="left"/>
        <w:tblInd w:w="0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2" w:type="dxa"/>
          <w:bottom w:w="55" w:type="dxa"/>
          <w:right w:w="55" w:type="dxa"/>
        </w:tblCellMar>
      </w:tblPr>
      <w:tblGrid>
        <w:gridCol w:w="7143"/>
        <w:gridCol w:w="7143"/>
      </w:tblGrid>
      <w:tr>
        <w:trPr/>
        <w:tc>
          <w:tcPr>
            <w:tcW w:w="71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Исполнение муниципальных гарантий</w:t>
            </w:r>
          </w:p>
        </w:tc>
        <w:tc>
          <w:tcPr>
            <w:tcW w:w="71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Style17"/>
              <w:spacing w:before="0" w:after="86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Объем бюджетных ассигнований на исполнение гарантий по возможным гарантийным случаям, рублей</w:t>
            </w:r>
          </w:p>
        </w:tc>
      </w:tr>
      <w:tr>
        <w:trPr/>
        <w:tc>
          <w:tcPr>
            <w:tcW w:w="71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 счет источников финансирования дефицита бюджета</w:t>
            </w:r>
          </w:p>
        </w:tc>
        <w:tc>
          <w:tcPr>
            <w:tcW w:w="71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360" w:before="0" w:after="0"/>
        <w:jc w:val="center"/>
        <w:rPr/>
      </w:pPr>
      <w:r>
        <w:rPr/>
      </w:r>
    </w:p>
    <w:sectPr>
      <w:type w:val="nextPage"/>
      <w:pgSz w:orient="landscape" w:w="16838" w:h="11906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embedSystemFonts/>
  <w:defaultTabStop w:val="708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e463dd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Calibri"/>
      <w:color w:val="00000A"/>
      <w:kern w:val="2"/>
      <w:sz w:val="22"/>
      <w:szCs w:val="22"/>
      <w:lang w:val="ru-RU" w:eastAsia="ar-SA" w:bidi="ar-SA"/>
    </w:rPr>
  </w:style>
  <w:style w:type="paragraph" w:styleId="2">
    <w:name w:val="Heading 2"/>
    <w:basedOn w:val="Normal"/>
    <w:next w:val="Normal"/>
    <w:qFormat/>
    <w:pPr>
      <w:keepNext w:val="true"/>
      <w:widowControl/>
      <w:numPr>
        <w:ilvl w:val="1"/>
        <w:numId w:val="1"/>
      </w:numPr>
      <w:jc w:val="center"/>
      <w:outlineLvl w:val="1"/>
    </w:pPr>
    <w:rPr>
      <w:sz w:val="24"/>
    </w:rPr>
  </w:style>
  <w:style w:type="paragraph" w:styleId="3">
    <w:name w:val="Heading 3"/>
    <w:basedOn w:val="Normal"/>
    <w:next w:val="Normal"/>
    <w:qFormat/>
    <w:pPr>
      <w:keepNext w:val="true"/>
      <w:widowControl/>
      <w:numPr>
        <w:ilvl w:val="2"/>
        <w:numId w:val="1"/>
      </w:numPr>
      <w:jc w:val="center"/>
      <w:outlineLvl w:val="2"/>
    </w:pPr>
    <w:rPr>
      <w:b/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2">
    <w:name w:val="Заголовок"/>
    <w:basedOn w:val="Normal"/>
    <w:next w:val="Style13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3">
    <w:name w:val="Body Text"/>
    <w:basedOn w:val="Normal"/>
    <w:pPr>
      <w:spacing w:lineRule="auto" w:line="276" w:before="0" w:after="140"/>
    </w:pPr>
    <w:rPr/>
  </w:style>
  <w:style w:type="paragraph" w:styleId="Style14">
    <w:name w:val="List"/>
    <w:basedOn w:val="Style13"/>
    <w:pPr/>
    <w:rPr>
      <w:rFonts w:cs="Lucida Sans"/>
    </w:rPr>
  </w:style>
  <w:style w:type="paragraph" w:styleId="Style15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Lucida Sans"/>
    </w:rPr>
  </w:style>
  <w:style w:type="paragraph" w:styleId="Style17">
    <w:name w:val="Содержимое таблицы"/>
    <w:basedOn w:val="Normal"/>
    <w:qFormat/>
    <w:pPr>
      <w:suppressLineNumbers/>
    </w:pPr>
    <w:rPr/>
  </w:style>
  <w:style w:type="paragraph" w:styleId="Style18">
    <w:name w:val="Заголовок таблицы"/>
    <w:basedOn w:val="Style17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Application>LibreOffice/6.0.3.2$Windows_x86 LibreOffice_project/8f48d515416608e3a835360314dac7e47fd0b821</Application>
  <Pages>2</Pages>
  <Words>116</Words>
  <Characters>840</Characters>
  <CharactersWithSpaces>1448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2015-07-06T12:59:00Z</dcterms:created>
  <dc:creator>User</dc:creator>
  <dc:description/>
  <dc:language>ru-RU</dc:language>
  <cp:lastModifiedBy/>
  <dcterms:modified xsi:type="dcterms:W3CDTF">2019-10-21T15:51:50Z</dcterms:modified>
  <cp:revision>33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